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2798AC" w14:textId="7492FE9F" w:rsidR="00CB67AD" w:rsidRPr="004B7E17" w:rsidRDefault="00CB67AD" w:rsidP="00CB67AD">
      <w:pPr>
        <w:widowControl w:val="0"/>
        <w:tabs>
          <w:tab w:val="right" w:pos="9639"/>
          <w:tab w:val="right" w:pos="13323"/>
        </w:tabs>
        <w:spacing w:after="0"/>
        <w:jc w:val="both"/>
        <w:rPr>
          <w:rFonts w:ascii="Arial" w:hAnsi="Arial" w:cs="Arial"/>
          <w:b/>
          <w:noProof/>
          <w:sz w:val="24"/>
          <w:szCs w:val="24"/>
          <w:lang w:eastAsia="ja-JP"/>
        </w:rPr>
      </w:pPr>
      <w:bookmarkStart w:id="0" w:name="_Hlk506802394"/>
      <w:r w:rsidRPr="00C45A63">
        <w:rPr>
          <w:rFonts w:ascii="Arial" w:hAnsi="Arial" w:cs="Arial"/>
          <w:b/>
          <w:noProof/>
          <w:sz w:val="24"/>
          <w:szCs w:val="24"/>
        </w:rPr>
        <w:t>3GPPRAN4#</w:t>
      </w:r>
      <w:r>
        <w:rPr>
          <w:rFonts w:ascii="Arial" w:hAnsi="Arial" w:cs="Arial"/>
          <w:b/>
          <w:noProof/>
          <w:sz w:val="24"/>
          <w:szCs w:val="24"/>
        </w:rPr>
        <w:t>91</w:t>
      </w:r>
      <w:r w:rsidRPr="004B7E17">
        <w:rPr>
          <w:rFonts w:ascii="Arial" w:hAnsi="Arial" w:cs="Arial"/>
          <w:b/>
          <w:noProof/>
          <w:sz w:val="24"/>
          <w:szCs w:val="24"/>
        </w:rPr>
        <w:tab/>
      </w:r>
      <w:r>
        <w:rPr>
          <w:rFonts w:ascii="Arial" w:hAnsi="Arial" w:cs="Arial"/>
          <w:b/>
          <w:bCs/>
          <w:color w:val="808080"/>
          <w:sz w:val="26"/>
          <w:szCs w:val="26"/>
        </w:rPr>
        <w:t>R4-19069</w:t>
      </w:r>
      <w:r>
        <w:rPr>
          <w:rFonts w:ascii="Arial" w:hAnsi="Arial" w:cs="Arial"/>
          <w:b/>
          <w:bCs/>
          <w:color w:val="808080"/>
          <w:sz w:val="26"/>
          <w:szCs w:val="26"/>
        </w:rPr>
        <w:t>91</w:t>
      </w:r>
    </w:p>
    <w:p w14:paraId="7018C8A9" w14:textId="77777777" w:rsidR="00CB67AD" w:rsidRDefault="00CB67AD" w:rsidP="00CB67AD">
      <w:pPr>
        <w:pStyle w:val="Footer"/>
        <w:jc w:val="both"/>
        <w:rPr>
          <w:i w:val="0"/>
          <w:noProof w:val="0"/>
          <w:sz w:val="24"/>
          <w:szCs w:val="24"/>
          <w:lang w:eastAsia="ja-JP"/>
        </w:rPr>
      </w:pPr>
      <w:r>
        <w:rPr>
          <w:rFonts w:eastAsia="SimSun"/>
          <w:i w:val="0"/>
          <w:noProof w:val="0"/>
          <w:sz w:val="24"/>
          <w:szCs w:val="24"/>
        </w:rPr>
        <w:t>Reno, USA</w:t>
      </w:r>
      <w:r>
        <w:rPr>
          <w:i w:val="0"/>
          <w:noProof w:val="0"/>
          <w:sz w:val="24"/>
          <w:szCs w:val="24"/>
          <w:lang w:eastAsia="ja-JP"/>
        </w:rPr>
        <w:t>, May 13</w:t>
      </w:r>
      <w:r w:rsidRPr="005F6D01">
        <w:rPr>
          <w:i w:val="0"/>
          <w:noProof w:val="0"/>
          <w:sz w:val="24"/>
          <w:szCs w:val="24"/>
          <w:vertAlign w:val="superscript"/>
          <w:lang w:eastAsia="ja-JP"/>
        </w:rPr>
        <w:t>th</w:t>
      </w:r>
      <w:r>
        <w:rPr>
          <w:i w:val="0"/>
          <w:noProof w:val="0"/>
          <w:sz w:val="24"/>
          <w:szCs w:val="24"/>
          <w:lang w:eastAsia="ja-JP"/>
        </w:rPr>
        <w:t xml:space="preserve"> -17</w:t>
      </w:r>
      <w:r w:rsidRPr="00CE07F2">
        <w:rPr>
          <w:i w:val="0"/>
          <w:noProof w:val="0"/>
          <w:sz w:val="24"/>
          <w:szCs w:val="24"/>
          <w:vertAlign w:val="superscript"/>
          <w:lang w:eastAsia="ja-JP"/>
        </w:rPr>
        <w:t>th</w:t>
      </w:r>
      <w:r>
        <w:rPr>
          <w:i w:val="0"/>
          <w:noProof w:val="0"/>
          <w:sz w:val="24"/>
          <w:szCs w:val="24"/>
          <w:lang w:eastAsia="ja-JP"/>
        </w:rPr>
        <w:t xml:space="preserve">, 2019 </w:t>
      </w:r>
    </w:p>
    <w:p w14:paraId="01D6F4DB" w14:textId="77777777" w:rsidR="00CB67AD" w:rsidRDefault="00CB67AD" w:rsidP="00CB67AD">
      <w:pPr>
        <w:pStyle w:val="Footer"/>
        <w:jc w:val="both"/>
        <w:rPr>
          <w:noProof w:val="0"/>
        </w:rPr>
      </w:pPr>
    </w:p>
    <w:p w14:paraId="2E7C39F8" w14:textId="6025E2A3" w:rsidR="00CB67AD" w:rsidRPr="00A510C0" w:rsidRDefault="00CB67AD" w:rsidP="00CB67AD">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Pr>
          <w:rFonts w:ascii="Arial" w:eastAsia="SimSun" w:hAnsi="Arial"/>
          <w:b/>
          <w:sz w:val="24"/>
          <w:lang w:eastAsia="zh-CN"/>
        </w:rPr>
        <w:t>Discussion on RRM requirements for CLI</w:t>
      </w:r>
    </w:p>
    <w:p w14:paraId="6EC8B2B7" w14:textId="77777777" w:rsidR="00CB67AD" w:rsidRPr="00D372E9" w:rsidRDefault="00CB67AD" w:rsidP="00CB67AD">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14:paraId="247CFC3C" w14:textId="79100B5A" w:rsidR="00CB67AD" w:rsidRPr="00D372E9" w:rsidRDefault="00CB67AD" w:rsidP="00CB67AD">
      <w:pPr>
        <w:tabs>
          <w:tab w:val="left" w:pos="1985"/>
        </w:tabs>
        <w:ind w:left="1980" w:hanging="1980"/>
        <w:jc w:val="both"/>
        <w:rPr>
          <w:rFonts w:ascii="Arial" w:eastAsia="SimSun" w:hAnsi="Arial"/>
          <w:b/>
          <w:sz w:val="24"/>
          <w:lang w:eastAsia="zh-CN"/>
        </w:rPr>
      </w:pPr>
      <w:r w:rsidRPr="00D372E9">
        <w:rPr>
          <w:rFonts w:ascii="Arial" w:hAnsi="Arial"/>
          <w:b/>
          <w:sz w:val="24"/>
        </w:rPr>
        <w:t>Agenda item:</w:t>
      </w:r>
      <w:r w:rsidRPr="00D372E9">
        <w:rPr>
          <w:rFonts w:ascii="Arial" w:hAnsi="Arial"/>
          <w:b/>
          <w:sz w:val="24"/>
        </w:rPr>
        <w:tab/>
      </w:r>
      <w:r w:rsidRPr="00CB67AD">
        <w:rPr>
          <w:rFonts w:ascii="Arial" w:hAnsi="Arial"/>
          <w:b/>
          <w:sz w:val="24"/>
        </w:rPr>
        <w:t>8.2.3</w:t>
      </w:r>
      <w:r w:rsidRPr="00CB67AD">
        <w:rPr>
          <w:rFonts w:ascii="Arial" w:hAnsi="Arial"/>
          <w:b/>
          <w:sz w:val="24"/>
        </w:rPr>
        <w:tab/>
        <w:t xml:space="preserve">RRM requirements (38.133) </w:t>
      </w:r>
      <w:r w:rsidRPr="007C2744">
        <w:rPr>
          <w:rFonts w:ascii="Arial" w:hAnsi="Arial"/>
          <w:b/>
          <w:sz w:val="24"/>
        </w:rPr>
        <w:t>[NR_newRAT-Core]</w:t>
      </w:r>
    </w:p>
    <w:p w14:paraId="69E5570C" w14:textId="77777777" w:rsidR="00CB67AD" w:rsidRPr="00E15948" w:rsidRDefault="00CB67AD" w:rsidP="00CB67AD">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bookmarkEnd w:id="0"/>
    <w:p w14:paraId="7B58AA9C" w14:textId="77777777" w:rsidR="00CB67AD" w:rsidRDefault="00CB67AD" w:rsidP="00CB67AD">
      <w:r>
        <w:pict w14:anchorId="1B296580">
          <v:rect id="_x0000_i1025" style="width:0;height:1.5pt" o:hralign="center" o:hrstd="t" o:hr="t" fillcolor="#a0a0a0" stroked="f"/>
        </w:pict>
      </w:r>
    </w:p>
    <w:p w14:paraId="266230AF" w14:textId="77777777" w:rsidR="00CB67AD" w:rsidRDefault="00CB67AD" w:rsidP="00CB67AD">
      <w:pPr>
        <w:pStyle w:val="Heading1"/>
        <w:numPr>
          <w:ilvl w:val="0"/>
          <w:numId w:val="1"/>
        </w:numPr>
        <w:pBdr>
          <w:bottom w:val="single" w:sz="4" w:space="1" w:color="595959" w:themeColor="text1" w:themeTint="A6"/>
        </w:pBdr>
        <w:spacing w:before="360" w:after="160"/>
      </w:pPr>
      <w:r w:rsidRPr="00E15948">
        <w:t>Introduction</w:t>
      </w:r>
    </w:p>
    <w:p w14:paraId="6B2306CE" w14:textId="77777777" w:rsidR="00CB67AD" w:rsidRDefault="00CB67AD" w:rsidP="00CB67AD">
      <w:r>
        <w:t>RAN4 is in the process of defining RRM requirements for CLI. In this contribution we provide our view on a couple of topics: the upper range of RSRP measurement and the SRS configurations for measurement.</w:t>
      </w:r>
    </w:p>
    <w:p w14:paraId="6FF4F697" w14:textId="73E4D844" w:rsidR="00CB67AD" w:rsidRDefault="00CB67AD" w:rsidP="00CB67AD"/>
    <w:p w14:paraId="7D8E41DA" w14:textId="5C4D4CCC" w:rsidR="00CB67AD" w:rsidRDefault="00CB67AD" w:rsidP="00CB67AD">
      <w:pPr>
        <w:pStyle w:val="Heading1"/>
        <w:numPr>
          <w:ilvl w:val="0"/>
          <w:numId w:val="1"/>
        </w:numPr>
        <w:pBdr>
          <w:bottom w:val="single" w:sz="4" w:space="1" w:color="595959" w:themeColor="text1" w:themeTint="A6"/>
        </w:pBdr>
        <w:spacing w:before="360" w:after="160"/>
      </w:pPr>
      <w:r>
        <w:t xml:space="preserve">Discussion </w:t>
      </w:r>
    </w:p>
    <w:p w14:paraId="3E478754" w14:textId="66412E04" w:rsidR="00CB67AD" w:rsidRPr="00CB67AD" w:rsidRDefault="00CB67AD" w:rsidP="00CB67AD">
      <w:pPr>
        <w:pStyle w:val="Heading2"/>
        <w:rPr>
          <w:b w:val="0"/>
        </w:rPr>
      </w:pPr>
      <w:r w:rsidRPr="00CB67AD">
        <w:rPr>
          <w:b w:val="0"/>
        </w:rPr>
        <w:t>2.1</w:t>
      </w:r>
      <w:r>
        <w:rPr>
          <w:b w:val="0"/>
        </w:rPr>
        <w:t xml:space="preserve"> CLI Reporting</w:t>
      </w:r>
      <w:r w:rsidRPr="00CB67AD">
        <w:rPr>
          <w:b w:val="0"/>
        </w:rPr>
        <w:t xml:space="preserve"> </w:t>
      </w:r>
    </w:p>
    <w:p w14:paraId="0DB4FD1D" w14:textId="29D3D2B7" w:rsidR="00CB67AD" w:rsidRDefault="00CB67AD" w:rsidP="00CB67AD">
      <w:r>
        <w:t xml:space="preserve">For CLI, the UE is supposed to measure SRS that being transmitted by nearby UE’s. </w:t>
      </w:r>
      <w:r>
        <w:t xml:space="preserve">In a network with dynamic TDD configuration, strong CLI may occur to a UE if it is close to multiple UEs from another cell that have strong UL transmissions colliding with its DL reception. In this case, the strong interference power may push the UE analog circuit to saturation. For the UE that is configured to measure the SRS-RSRP or the CLI-RSSI, in such case either the measurement is not accurate, or the UE is not even able to detect the SRS sequence ID. </w:t>
      </w:r>
    </w:p>
    <w:p w14:paraId="735EF9CE" w14:textId="741136B1" w:rsidR="00CB67AD" w:rsidRDefault="00CB67AD" w:rsidP="00CB67AD">
      <w:r w:rsidRPr="00CB67AD">
        <w:rPr>
          <w:b/>
        </w:rPr>
        <w:t>Observation 1</w:t>
      </w:r>
      <w:r>
        <w:t>:</w:t>
      </w:r>
      <w:r>
        <w:tab/>
        <w:t>If the interference is too strong, either the measurement is not accurate, or the UE is not even able to detect the SRS sequence ID.</w:t>
      </w:r>
    </w:p>
    <w:p w14:paraId="1DA23D7D" w14:textId="77777777" w:rsidR="00CB67AD" w:rsidRDefault="00CB67AD" w:rsidP="00CB67AD">
      <w:r>
        <w:t xml:space="preserve">Therefore, the UE should be allowed to transmit an overload flag in the CLI RSRP/RSSI report to indicate that the interference is too strong to measure. </w:t>
      </w:r>
    </w:p>
    <w:p w14:paraId="7EE4DE3A" w14:textId="762C54B0" w:rsidR="00CB67AD" w:rsidRDefault="00CB67AD" w:rsidP="00CB67AD">
      <w:r w:rsidRPr="00CB67AD">
        <w:rPr>
          <w:b/>
        </w:rPr>
        <w:t>Proposal 1</w:t>
      </w:r>
      <w:r>
        <w:t>:</w:t>
      </w:r>
      <w:r>
        <w:tab/>
        <w:t>Include ‘too strong signal to measure’ as one of the possible reported values of CLI-RSSI and SRS-RSRP measurement result.</w:t>
      </w:r>
    </w:p>
    <w:p w14:paraId="4D7A90C1" w14:textId="26779250" w:rsidR="00CB67AD" w:rsidRDefault="00CB67AD" w:rsidP="00CB67AD">
      <w:pPr>
        <w:pStyle w:val="Heading2"/>
        <w:rPr>
          <w:b w:val="0"/>
        </w:rPr>
      </w:pPr>
      <w:r>
        <w:rPr>
          <w:b w:val="0"/>
        </w:rPr>
        <w:t xml:space="preserve">2.2 SRS configuration for CLI measurement </w:t>
      </w:r>
    </w:p>
    <w:p w14:paraId="142D94CE" w14:textId="77777777" w:rsidR="00CB67AD" w:rsidRDefault="00CB67AD" w:rsidP="00CB67AD"/>
    <w:p w14:paraId="681ACDD6" w14:textId="16BB8064" w:rsidR="00CB67AD" w:rsidRDefault="00CB67AD" w:rsidP="00CB67AD">
      <w:r>
        <w:t xml:space="preserve">Although, SRS can be transmitted in up to 4 ports from a UE, it should be discussed whether the SRS-RSRP should be measured in up to 4 ports. For SRS-RSRP measurement report, L3 measurement reporting is applied. Current L3 measurement is performed in a single port. To make CLI measurement compatible with existing L3 measurement, the UE should be configured only to measure SRS-RSRP in a </w:t>
      </w:r>
      <w:r>
        <w:lastRenderedPageBreak/>
        <w:t>single SRS port. Note this does not preclude the UE from measuring multiple SRS ports if each port of the SRS is configured as a separate measurement resource.</w:t>
      </w:r>
      <w:r w:rsidR="00466D10">
        <w:t xml:space="preserve"> For the parameter n</w:t>
      </w:r>
      <w:r w:rsidR="003E7E97">
        <w:t>r</w:t>
      </w:r>
      <w:r w:rsidR="00466D10">
        <w:t xml:space="preserve">ofSRS-Ports, we should </w:t>
      </w:r>
      <w:r w:rsidR="003E7E97">
        <w:t>down select</w:t>
      </w:r>
      <w:r w:rsidR="00466D10">
        <w:t xml:space="preserve"> to N=1 value only</w:t>
      </w:r>
      <w:bookmarkStart w:id="1" w:name="_GoBack"/>
      <w:bookmarkEnd w:id="1"/>
    </w:p>
    <w:tbl>
      <w:tblPr>
        <w:tblW w:w="9453" w:type="dxa"/>
        <w:tblInd w:w="18" w:type="dxa"/>
        <w:tblCellMar>
          <w:left w:w="0" w:type="dxa"/>
          <w:right w:w="0" w:type="dxa"/>
        </w:tblCellMar>
        <w:tblLook w:val="04A0" w:firstRow="1" w:lastRow="0" w:firstColumn="1" w:lastColumn="0" w:noHBand="0" w:noVBand="1"/>
      </w:tblPr>
      <w:tblGrid>
        <w:gridCol w:w="2134"/>
        <w:gridCol w:w="1080"/>
        <w:gridCol w:w="1440"/>
        <w:gridCol w:w="2973"/>
        <w:gridCol w:w="1826"/>
      </w:tblGrid>
      <w:tr w:rsidR="00466D10" w14:paraId="28AA7806" w14:textId="77777777" w:rsidTr="00466D10">
        <w:trPr>
          <w:trHeight w:val="675"/>
        </w:trPr>
        <w:tc>
          <w:tcPr>
            <w:tcW w:w="2134" w:type="dxa"/>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6EAA35FE" w14:textId="77777777" w:rsidR="00466D10" w:rsidRDefault="00466D10">
            <w:pPr>
              <w:jc w:val="center"/>
              <w:rPr>
                <w:rFonts w:ascii="Arial" w:eastAsiaTheme="minorHAnsi" w:hAnsi="Arial" w:cs="Arial"/>
                <w:b/>
                <w:bCs/>
                <w:sz w:val="16"/>
                <w:szCs w:val="16"/>
              </w:rPr>
            </w:pPr>
            <w:r>
              <w:rPr>
                <w:rFonts w:ascii="Arial" w:hAnsi="Arial" w:cs="Arial"/>
                <w:b/>
                <w:bCs/>
                <w:sz w:val="16"/>
                <w:szCs w:val="16"/>
              </w:rPr>
              <w:t>Parameter name in specification</w:t>
            </w:r>
          </w:p>
        </w:tc>
        <w:tc>
          <w:tcPr>
            <w:tcW w:w="1080"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12E63621" w14:textId="77777777" w:rsidR="00466D10" w:rsidRDefault="00466D10">
            <w:pPr>
              <w:jc w:val="center"/>
              <w:rPr>
                <w:rFonts w:ascii="Arial" w:hAnsi="Arial" w:cs="Arial"/>
                <w:b/>
                <w:bCs/>
                <w:sz w:val="16"/>
                <w:szCs w:val="16"/>
              </w:rPr>
            </w:pPr>
            <w:r>
              <w:rPr>
                <w:rFonts w:ascii="Arial" w:hAnsi="Arial" w:cs="Arial"/>
                <w:b/>
                <w:bCs/>
                <w:sz w:val="16"/>
                <w:szCs w:val="16"/>
              </w:rPr>
              <w:t>New or existing parameter</w:t>
            </w:r>
          </w:p>
        </w:tc>
        <w:tc>
          <w:tcPr>
            <w:tcW w:w="1440"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24B75659" w14:textId="77777777" w:rsidR="00466D10" w:rsidRDefault="00466D10">
            <w:pPr>
              <w:jc w:val="center"/>
              <w:rPr>
                <w:rFonts w:ascii="Arial" w:hAnsi="Arial" w:cs="Arial"/>
                <w:b/>
                <w:bCs/>
                <w:sz w:val="16"/>
                <w:szCs w:val="16"/>
              </w:rPr>
            </w:pPr>
            <w:r>
              <w:rPr>
                <w:rFonts w:ascii="Arial" w:hAnsi="Arial" w:cs="Arial"/>
                <w:b/>
                <w:bCs/>
                <w:sz w:val="16"/>
                <w:szCs w:val="16"/>
              </w:rPr>
              <w:t>Parameter name in text</w:t>
            </w:r>
          </w:p>
        </w:tc>
        <w:tc>
          <w:tcPr>
            <w:tcW w:w="2973"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28785D50" w14:textId="77777777" w:rsidR="00466D10" w:rsidRDefault="00466D10">
            <w:pPr>
              <w:rPr>
                <w:rFonts w:ascii="Arial" w:hAnsi="Arial" w:cs="Arial"/>
                <w:b/>
                <w:bCs/>
                <w:sz w:val="16"/>
                <w:szCs w:val="16"/>
              </w:rPr>
            </w:pPr>
            <w:r>
              <w:rPr>
                <w:rFonts w:ascii="Arial" w:hAnsi="Arial" w:cs="Arial"/>
                <w:b/>
                <w:bCs/>
                <w:sz w:val="16"/>
                <w:szCs w:val="16"/>
              </w:rPr>
              <w:t>Description</w:t>
            </w:r>
          </w:p>
        </w:tc>
        <w:tc>
          <w:tcPr>
            <w:tcW w:w="1826"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2CA09CC2" w14:textId="77777777" w:rsidR="00466D10" w:rsidRDefault="00466D10">
            <w:pPr>
              <w:jc w:val="center"/>
              <w:rPr>
                <w:rFonts w:ascii="Arial" w:hAnsi="Arial" w:cs="Arial"/>
                <w:b/>
                <w:bCs/>
                <w:sz w:val="16"/>
                <w:szCs w:val="16"/>
              </w:rPr>
            </w:pPr>
            <w:r>
              <w:rPr>
                <w:rFonts w:ascii="Arial" w:hAnsi="Arial" w:cs="Arial"/>
                <w:b/>
                <w:bCs/>
                <w:sz w:val="16"/>
                <w:szCs w:val="16"/>
              </w:rPr>
              <w:t>Value range</w:t>
            </w:r>
          </w:p>
        </w:tc>
      </w:tr>
      <w:tr w:rsidR="00466D10" w14:paraId="36633596" w14:textId="77777777" w:rsidTr="00466D10">
        <w:trPr>
          <w:trHeight w:val="548"/>
        </w:trPr>
        <w:tc>
          <w:tcPr>
            <w:tcW w:w="213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ECB44D7" w14:textId="77777777" w:rsidR="00466D10" w:rsidRDefault="00466D10">
            <w:pPr>
              <w:jc w:val="center"/>
              <w:rPr>
                <w:rFonts w:ascii="Arial" w:hAnsi="Arial" w:cs="Arial"/>
                <w:sz w:val="16"/>
                <w:szCs w:val="16"/>
              </w:rPr>
            </w:pPr>
            <w:r>
              <w:rPr>
                <w:rFonts w:ascii="Arial" w:hAnsi="Arial" w:cs="Arial"/>
                <w:sz w:val="16"/>
                <w:szCs w:val="16"/>
              </w:rPr>
              <w:t>nrofSRS-Ports</w:t>
            </w:r>
          </w:p>
        </w:tc>
        <w:tc>
          <w:tcPr>
            <w:tcW w:w="10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71CAA98" w14:textId="77777777" w:rsidR="00466D10" w:rsidRDefault="00466D10">
            <w:pPr>
              <w:jc w:val="center"/>
              <w:rPr>
                <w:rFonts w:ascii="Arial" w:hAnsi="Arial" w:cs="Arial"/>
                <w:sz w:val="16"/>
                <w:szCs w:val="16"/>
                <w:lang w:val="en-GB"/>
              </w:rPr>
            </w:pPr>
            <w:r>
              <w:rPr>
                <w:rFonts w:ascii="Arial" w:hAnsi="Arial" w:cs="Arial"/>
                <w:sz w:val="16"/>
                <w:szCs w:val="16"/>
              </w:rPr>
              <w:t>New</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C975CB" w14:textId="77777777" w:rsidR="00466D10" w:rsidRDefault="00466D10">
            <w:pPr>
              <w:jc w:val="center"/>
              <w:rPr>
                <w:rFonts w:ascii="Arial" w:hAnsi="Arial" w:cs="Arial"/>
                <w:sz w:val="16"/>
                <w:szCs w:val="16"/>
              </w:rPr>
            </w:pPr>
            <w:r>
              <w:rPr>
                <w:rFonts w:ascii="Arial" w:hAnsi="Arial" w:cs="Arial"/>
                <w:sz w:val="16"/>
                <w:szCs w:val="16"/>
              </w:rPr>
              <w:t>nrofSRS-Ports</w:t>
            </w:r>
          </w:p>
        </w:tc>
        <w:tc>
          <w:tcPr>
            <w:tcW w:w="29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B8A7CB" w14:textId="77777777" w:rsidR="00466D10" w:rsidRDefault="00466D10">
            <w:pPr>
              <w:rPr>
                <w:rFonts w:ascii="Arial" w:hAnsi="Arial" w:cs="Arial"/>
                <w:color w:val="000000"/>
                <w:sz w:val="16"/>
                <w:szCs w:val="16"/>
              </w:rPr>
            </w:pPr>
            <w:r>
              <w:rPr>
                <w:rFonts w:ascii="Arial" w:hAnsi="Arial" w:cs="Arial"/>
                <w:color w:val="000000"/>
                <w:sz w:val="16"/>
                <w:szCs w:val="16"/>
              </w:rPr>
              <w:t> </w:t>
            </w:r>
          </w:p>
        </w:tc>
        <w:tc>
          <w:tcPr>
            <w:tcW w:w="18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09CF50" w14:textId="77777777" w:rsidR="00466D10" w:rsidRDefault="00466D10">
            <w:pPr>
              <w:rPr>
                <w:rFonts w:ascii="Arial" w:hAnsi="Arial" w:cs="Arial"/>
                <w:sz w:val="16"/>
                <w:szCs w:val="16"/>
              </w:rPr>
            </w:pPr>
            <w:r>
              <w:rPr>
                <w:rFonts w:ascii="Arial" w:hAnsi="Arial" w:cs="Arial"/>
                <w:sz w:val="16"/>
                <w:szCs w:val="16"/>
              </w:rPr>
              <w:t>1,</w:t>
            </w:r>
            <w:r>
              <w:rPr>
                <w:rFonts w:ascii="Arial" w:hAnsi="Arial" w:cs="Arial"/>
                <w:color w:val="FF0000"/>
                <w:sz w:val="16"/>
                <w:szCs w:val="16"/>
              </w:rPr>
              <w:t>[2],[4]</w:t>
            </w:r>
          </w:p>
        </w:tc>
      </w:tr>
    </w:tbl>
    <w:p w14:paraId="57BF566D" w14:textId="77777777" w:rsidR="00466D10" w:rsidRDefault="00466D10" w:rsidP="00CB67AD"/>
    <w:p w14:paraId="5434BD62" w14:textId="397A94D5" w:rsidR="00CB67AD" w:rsidRDefault="00CB67AD" w:rsidP="00CB67AD">
      <w:r w:rsidRPr="00466D10">
        <w:rPr>
          <w:b/>
        </w:rPr>
        <w:t>Proposal 2</w:t>
      </w:r>
      <w:r>
        <w:t>:</w:t>
      </w:r>
      <w:r>
        <w:tab/>
        <w:t>Each SRS-RSRP measurement resource only includes a single SRS port. To measure the SRS transmitted from N (N=2, 4) ports from the interfering UE, network can configure N separate SRS resources that correspond to the N ports at the interfering UE.</w:t>
      </w:r>
    </w:p>
    <w:p w14:paraId="2EAC94AF" w14:textId="2DD0C73B" w:rsidR="00466D10" w:rsidRDefault="00466D10" w:rsidP="00CB67AD"/>
    <w:p w14:paraId="3C8398B8" w14:textId="0065AD8E" w:rsidR="00466D10" w:rsidRDefault="00466D10" w:rsidP="00466D10">
      <w:pPr>
        <w:pStyle w:val="Heading1"/>
        <w:numPr>
          <w:ilvl w:val="0"/>
          <w:numId w:val="1"/>
        </w:numPr>
        <w:pBdr>
          <w:bottom w:val="single" w:sz="4" w:space="1" w:color="595959" w:themeColor="text1" w:themeTint="A6"/>
        </w:pBdr>
        <w:spacing w:before="360" w:after="160"/>
      </w:pPr>
      <w:r>
        <w:t>Conclusion</w:t>
      </w:r>
      <w:r>
        <w:t xml:space="preserve"> </w:t>
      </w:r>
    </w:p>
    <w:p w14:paraId="3D77EB1D" w14:textId="40400FA4" w:rsidR="00466D10" w:rsidRDefault="00466D10" w:rsidP="00CB67AD">
      <w:r>
        <w:t xml:space="preserve">In this contribution, we provide a couple of proposals on CLI measurement reporting and SRS configurations. </w:t>
      </w:r>
    </w:p>
    <w:p w14:paraId="678E288E" w14:textId="77777777" w:rsidR="00466D10" w:rsidRDefault="00466D10" w:rsidP="00466D10">
      <w:r w:rsidRPr="00CB67AD">
        <w:rPr>
          <w:b/>
        </w:rPr>
        <w:t>Observation 1</w:t>
      </w:r>
      <w:r>
        <w:t>:</w:t>
      </w:r>
      <w:r>
        <w:tab/>
        <w:t>If the interference is too strong, either the measurement is not accurate, or the UE is not even able to detect the SRS sequence ID.</w:t>
      </w:r>
    </w:p>
    <w:p w14:paraId="237FD5E6" w14:textId="77777777" w:rsidR="00466D10" w:rsidRDefault="00466D10" w:rsidP="00466D10">
      <w:r w:rsidRPr="00CB67AD">
        <w:rPr>
          <w:b/>
        </w:rPr>
        <w:t>Proposal 1</w:t>
      </w:r>
      <w:r>
        <w:t>:</w:t>
      </w:r>
      <w:r>
        <w:tab/>
        <w:t>Include ‘too strong signal to measure’ as one of the possible reported values of CLI-RSSI and SRS-RSRP measurement result.</w:t>
      </w:r>
    </w:p>
    <w:p w14:paraId="2884E5CF" w14:textId="77777777" w:rsidR="00466D10" w:rsidRDefault="00466D10" w:rsidP="00466D10">
      <w:r w:rsidRPr="00466D10">
        <w:rPr>
          <w:b/>
        </w:rPr>
        <w:t>Proposal 2</w:t>
      </w:r>
      <w:r>
        <w:t>:</w:t>
      </w:r>
      <w:r>
        <w:tab/>
        <w:t>Each SRS-RSRP measurement resource only includes a single SRS port. To measure the SRS transmitted from N (N=2, 4) ports from the interfering UE, network can configure N separate SRS resources that correspond to the N ports at the interfering UE.</w:t>
      </w:r>
    </w:p>
    <w:p w14:paraId="0EC8EEA7" w14:textId="77777777" w:rsidR="00466D10" w:rsidRPr="00CB67AD" w:rsidRDefault="00466D10" w:rsidP="00CB67AD"/>
    <w:sectPr w:rsidR="00466D10" w:rsidRPr="00CB67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D10"/>
    <w:rsid w:val="002E5195"/>
    <w:rsid w:val="003E7E97"/>
    <w:rsid w:val="00466D10"/>
    <w:rsid w:val="00616983"/>
    <w:rsid w:val="00683D10"/>
    <w:rsid w:val="008E313D"/>
    <w:rsid w:val="00943B69"/>
    <w:rsid w:val="009F2370"/>
    <w:rsid w:val="00CA61B1"/>
    <w:rsid w:val="00CB67AD"/>
    <w:rsid w:val="00D141CC"/>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6A138"/>
  <w15:chartTrackingRefBased/>
  <w15:docId w15:val="{D579199E-ACB3-4586-91A1-2D4764A83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67AD"/>
    <w:rPr>
      <w:rFonts w:eastAsiaTheme="minorEastAsia"/>
    </w:rPr>
  </w:style>
  <w:style w:type="paragraph" w:styleId="Heading1">
    <w:name w:val="heading 1"/>
    <w:basedOn w:val="Normal"/>
    <w:next w:val="Normal"/>
    <w:link w:val="Heading1Char"/>
    <w:uiPriority w:val="9"/>
    <w:qFormat/>
    <w:rsid w:val="00CB67AD"/>
    <w:pPr>
      <w:keepNext/>
      <w:keepLines/>
      <w:spacing w:before="240" w:after="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unhideWhenUsed/>
    <w:qFormat/>
    <w:rsid w:val="00CB67AD"/>
    <w:pPr>
      <w:keepNext/>
      <w:keepLines/>
      <w:spacing w:before="360" w:after="0"/>
      <w:ind w:left="576" w:hanging="576"/>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CB67AD"/>
    <w:pPr>
      <w:keepNext/>
      <w:keepLines/>
      <w:spacing w:before="200" w:after="0"/>
      <w:ind w:left="720" w:hanging="72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CB67AD"/>
    <w:pPr>
      <w:keepNext/>
      <w:keepLines/>
      <w:spacing w:before="200" w:after="0"/>
      <w:ind w:left="864" w:hanging="864"/>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CB67AD"/>
    <w:pPr>
      <w:keepNext/>
      <w:keepLines/>
      <w:spacing w:before="200" w:after="0"/>
      <w:ind w:left="1008" w:hanging="1008"/>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CB67AD"/>
    <w:pPr>
      <w:keepNext/>
      <w:keepLines/>
      <w:spacing w:before="200" w:after="0"/>
      <w:ind w:left="1152" w:hanging="1152"/>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CB67AD"/>
    <w:pPr>
      <w:keepNext/>
      <w:keepLines/>
      <w:spacing w:before="200" w:after="0"/>
      <w:ind w:left="1296" w:hanging="1296"/>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CB67AD"/>
    <w:pPr>
      <w:keepNext/>
      <w:keepLines/>
      <w:spacing w:before="200" w:after="0"/>
      <w:ind w:left="1440" w:hanging="144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CB67AD"/>
    <w:pPr>
      <w:keepNext/>
      <w:keepLines/>
      <w:spacing w:before="200" w:after="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uiPriority w:val="99"/>
    <w:rsid w:val="00CB67AD"/>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uiPriority w:val="99"/>
    <w:rsid w:val="00CB67AD"/>
    <w:rPr>
      <w:rFonts w:ascii="Arial" w:eastAsia="MS Mincho" w:hAnsi="Arial" w:cs="Times New Roman"/>
      <w:b/>
      <w:i/>
      <w:noProof/>
      <w:sz w:val="18"/>
      <w:szCs w:val="20"/>
      <w:lang w:eastAsia="zh-CN"/>
    </w:rPr>
  </w:style>
  <w:style w:type="paragraph" w:styleId="Header">
    <w:name w:val="header"/>
    <w:basedOn w:val="Normal"/>
    <w:link w:val="HeaderChar"/>
    <w:uiPriority w:val="99"/>
    <w:semiHidden/>
    <w:unhideWhenUsed/>
    <w:rsid w:val="00CB67A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B67AD"/>
    <w:rPr>
      <w:rFonts w:eastAsiaTheme="minorEastAsia"/>
    </w:rPr>
  </w:style>
  <w:style w:type="character" w:customStyle="1" w:styleId="Heading1Char">
    <w:name w:val="Heading 1 Char"/>
    <w:basedOn w:val="DefaultParagraphFont"/>
    <w:link w:val="Heading1"/>
    <w:uiPriority w:val="9"/>
    <w:rsid w:val="00CB67AD"/>
    <w:rPr>
      <w:rFonts w:asciiTheme="majorHAnsi" w:eastAsiaTheme="majorEastAsia" w:hAnsiTheme="majorHAnsi" w:cstheme="majorBidi"/>
      <w:sz w:val="32"/>
      <w:szCs w:val="32"/>
    </w:rPr>
  </w:style>
  <w:style w:type="character" w:customStyle="1" w:styleId="Heading2Char">
    <w:name w:val="Heading 2 Char"/>
    <w:basedOn w:val="DefaultParagraphFont"/>
    <w:link w:val="Heading2"/>
    <w:uiPriority w:val="9"/>
    <w:rsid w:val="00CB67AD"/>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CB67AD"/>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CB67AD"/>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CB67AD"/>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CB67AD"/>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CB67AD"/>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CB67AD"/>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CB67AD"/>
    <w:rPr>
      <w:rFonts w:asciiTheme="majorHAnsi" w:eastAsiaTheme="majorEastAsia" w:hAnsiTheme="majorHAnsi" w:cstheme="majorBidi"/>
      <w:i/>
      <w:iCs/>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596684">
      <w:bodyDiv w:val="1"/>
      <w:marLeft w:val="0"/>
      <w:marRight w:val="0"/>
      <w:marTop w:val="0"/>
      <w:marBottom w:val="0"/>
      <w:divBdr>
        <w:top w:val="none" w:sz="0" w:space="0" w:color="auto"/>
        <w:left w:val="none" w:sz="0" w:space="0" w:color="auto"/>
        <w:bottom w:val="none" w:sz="0" w:space="0" w:color="auto"/>
        <w:right w:val="none" w:sz="0" w:space="0" w:color="auto"/>
      </w:divBdr>
    </w:div>
    <w:div w:id="129632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477</Words>
  <Characters>2721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Josan, Awlok</dc:creator>
  <cp:keywords/>
  <dc:description/>
  <cp:lastModifiedBy>Josan, Awlok</cp:lastModifiedBy>
  <cp:revision>3</cp:revision>
  <dcterms:created xsi:type="dcterms:W3CDTF">2019-05-03T18:31:00Z</dcterms:created>
  <dcterms:modified xsi:type="dcterms:W3CDTF">2019-05-03T18:45:00Z</dcterms:modified>
</cp:coreProperties>
</file>